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277" w:rsidRDefault="002F2277" w:rsidP="00C245B2">
      <w:pPr>
        <w:pStyle w:val="Nadpis1"/>
        <w:numPr>
          <w:ilvl w:val="0"/>
          <w:numId w:val="0"/>
        </w:numPr>
        <w:ind w:left="432" w:hanging="432"/>
      </w:pPr>
    </w:p>
    <w:p w:rsidR="00B1060A" w:rsidRDefault="00B1060A" w:rsidP="00B1060A"/>
    <w:p w:rsidR="00B1060A" w:rsidRDefault="00B1060A" w:rsidP="00B1060A"/>
    <w:p w:rsidR="0026670B" w:rsidRDefault="0026670B" w:rsidP="00B1060A"/>
    <w:p w:rsidR="0026670B" w:rsidRDefault="0026670B" w:rsidP="00B1060A"/>
    <w:p w:rsidR="0026670B" w:rsidRDefault="0026670B" w:rsidP="00B1060A"/>
    <w:p w:rsidR="0026670B" w:rsidRDefault="0026670B" w:rsidP="0026670B">
      <w:pPr>
        <w:ind w:left="0"/>
      </w:pPr>
    </w:p>
    <w:p w:rsidR="00B1060A" w:rsidRDefault="00B1060A" w:rsidP="00B1060A"/>
    <w:bookmarkStart w:id="0" w:name="_Toc336959062" w:displacedByCustomXml="next"/>
    <w:bookmarkStart w:id="1" w:name="_Toc374948207" w:displacedByCustomXml="next"/>
    <w:bookmarkStart w:id="2" w:name="_Toc349727277" w:displacedByCustomXml="next"/>
    <w:sdt>
      <w:sdtPr>
        <w:id w:val="23028508"/>
        <w:placeholder>
          <w:docPart w:val="671FA529E34349CFBF7EAC69CB9C7DA5"/>
        </w:placeholder>
        <w:text/>
      </w:sdtPr>
      <w:sdtEndPr/>
      <w:sdtContent>
        <w:bookmarkEnd w:id="0" w:displacedByCustomXml="prev"/>
        <w:p w:rsidR="00B1060A" w:rsidRDefault="00FD53AD" w:rsidP="00B1060A">
          <w:pPr>
            <w:pStyle w:val="Nzev"/>
          </w:pPr>
          <w:r>
            <w:t xml:space="preserve">Instalace a </w:t>
          </w:r>
          <w:r w:rsidR="007D63FC">
            <w:t>Nastavení webového schvalování pro správce</w:t>
          </w:r>
        </w:p>
      </w:sdtContent>
    </w:sdt>
    <w:bookmarkEnd w:id="1" w:displacedByCustomXml="prev"/>
    <w:bookmarkEnd w:id="2" w:displacedByCustomXml="prev"/>
    <w:p w:rsidR="00B1060A" w:rsidRPr="00B1060A" w:rsidRDefault="00B1060A" w:rsidP="00B1060A"/>
    <w:p w:rsidR="00C245B2" w:rsidRDefault="00C245B2" w:rsidP="00C245B2"/>
    <w:p w:rsidR="00C245B2" w:rsidRDefault="00C245B2" w:rsidP="00C245B2"/>
    <w:p w:rsidR="00C245B2" w:rsidRDefault="00C245B2" w:rsidP="00C245B2"/>
    <w:p w:rsidR="00C245B2" w:rsidRDefault="00C245B2" w:rsidP="00C245B2"/>
    <w:p w:rsidR="00C245B2" w:rsidRDefault="00C245B2" w:rsidP="00C245B2"/>
    <w:p w:rsidR="00C245B2" w:rsidRDefault="00C245B2" w:rsidP="00C245B2"/>
    <w:p w:rsidR="00C245B2" w:rsidRDefault="00C245B2" w:rsidP="00C245B2"/>
    <w:p w:rsidR="00C245B2" w:rsidRDefault="00C245B2" w:rsidP="00C245B2"/>
    <w:p w:rsidR="00C245B2" w:rsidRDefault="00C245B2" w:rsidP="00C245B2"/>
    <w:p w:rsidR="00C245B2" w:rsidRDefault="00C245B2" w:rsidP="00C245B2"/>
    <w:p w:rsidR="00C245B2" w:rsidRDefault="00C245B2" w:rsidP="00C245B2"/>
    <w:p w:rsidR="00C245B2" w:rsidRDefault="00C245B2" w:rsidP="00C245B2"/>
    <w:p w:rsidR="00C245B2" w:rsidRDefault="00C245B2" w:rsidP="00C245B2"/>
    <w:p w:rsidR="00C245B2" w:rsidRDefault="00C245B2" w:rsidP="00C245B2"/>
    <w:p w:rsidR="00C245B2" w:rsidRDefault="00C245B2" w:rsidP="00C245B2"/>
    <w:p w:rsidR="00C245B2" w:rsidRDefault="00C245B2" w:rsidP="00C245B2"/>
    <w:p w:rsidR="00C245B2" w:rsidRDefault="00C245B2" w:rsidP="00C245B2"/>
    <w:p w:rsidR="00C245B2" w:rsidRDefault="00C245B2" w:rsidP="00C245B2"/>
    <w:p w:rsidR="00C245B2" w:rsidRDefault="00C245B2" w:rsidP="00C245B2"/>
    <w:p w:rsidR="00C245B2" w:rsidRDefault="00C245B2" w:rsidP="00C245B2"/>
    <w:p w:rsidR="00C245B2" w:rsidRDefault="00C245B2" w:rsidP="00C245B2"/>
    <w:p w:rsidR="00C245B2" w:rsidRDefault="00C245B2" w:rsidP="00C245B2"/>
    <w:p w:rsidR="00C245B2" w:rsidRDefault="00C245B2" w:rsidP="00C245B2"/>
    <w:p w:rsidR="00C245B2" w:rsidRDefault="00C245B2" w:rsidP="00C245B2"/>
    <w:p w:rsidR="00C245B2" w:rsidRDefault="00C245B2" w:rsidP="00C245B2"/>
    <w:p w:rsidR="00C245B2" w:rsidRDefault="00C245B2" w:rsidP="00C245B2"/>
    <w:p w:rsidR="007D6614" w:rsidRDefault="007D6614" w:rsidP="00C245B2"/>
    <w:p w:rsidR="004A43CB" w:rsidRDefault="004A43CB" w:rsidP="0026670B">
      <w:pPr>
        <w:ind w:left="0"/>
      </w:pPr>
    </w:p>
    <w:p w:rsidR="00E43793" w:rsidRDefault="00FD53AD" w:rsidP="00FD53AD">
      <w:pPr>
        <w:pStyle w:val="Nadpis1"/>
      </w:pPr>
      <w:r>
        <w:lastRenderedPageBreak/>
        <w:t xml:space="preserve">Instalace </w:t>
      </w:r>
    </w:p>
    <w:p w:rsidR="00FD53AD" w:rsidRDefault="00FD53AD" w:rsidP="00FD53AD">
      <w:pPr>
        <w:pStyle w:val="Nadpis2"/>
      </w:pPr>
      <w:r>
        <w:t xml:space="preserve">Nasazení webové aplikace </w:t>
      </w:r>
    </w:p>
    <w:p w:rsidR="00FD53AD" w:rsidRDefault="00FD53AD" w:rsidP="00FD53AD">
      <w:r>
        <w:t>Nasazení webové aplikace včetně dokumentu na instalaci Appache a PHP je v samostatném dokumentu v adresáři doc aplikace schvalovani</w:t>
      </w:r>
      <w:r w:rsidR="00570E53">
        <w:t xml:space="preserve"> „Instalace webového schvalování“</w:t>
      </w:r>
      <w:r>
        <w:t>.</w:t>
      </w:r>
    </w:p>
    <w:p w:rsidR="00FD53AD" w:rsidRDefault="00FD53AD" w:rsidP="00FD53AD">
      <w:pPr>
        <w:pStyle w:val="Nadpis2"/>
      </w:pPr>
      <w:r>
        <w:t>Nastavení webových služeb abra</w:t>
      </w:r>
    </w:p>
    <w:p w:rsidR="00FD53AD" w:rsidRDefault="00FD53AD" w:rsidP="00FD53AD">
      <w:r>
        <w:t xml:space="preserve">Pro správnou funkci systému je zapotřebí zaregistrovat webové služby ABRA pod uživatelem MS Windows, který má právo terminálového přístupu. Důvodem je nutnost nastavení výchozí tiskárny pro generování tiskových sestav. </w:t>
      </w:r>
    </w:p>
    <w:p w:rsidR="00FD53AD" w:rsidRPr="00FD53AD" w:rsidRDefault="00FD53AD" w:rsidP="00FD53AD">
      <w:r>
        <w:t>Registrace webové služby a její nastavení v Appache je součástí manuálu IS ABRA pod klíčem „webové služby“. Důležitý je modul http_2_2. Tedy to, čemu se v IS ABRA říká REST.</w:t>
      </w:r>
    </w:p>
    <w:p w:rsidR="00FD53AD" w:rsidRDefault="00FD53AD" w:rsidP="00FD53AD">
      <w:pPr>
        <w:pStyle w:val="Nadpis2"/>
      </w:pPr>
      <w:r>
        <w:t>Instalace doplňku</w:t>
      </w:r>
    </w:p>
    <w:p w:rsidR="00FD53AD" w:rsidRDefault="00FD53AD" w:rsidP="00FD53AD">
      <w:r>
        <w:t>Instalace se provádí instalační sadou. V případě většího počtu záznamů v definovatelných číselnících</w:t>
      </w:r>
      <w:r w:rsidR="00C106EF">
        <w:t xml:space="preserve"> (například insolvenční rejstřík)</w:t>
      </w:r>
      <w:r>
        <w:t xml:space="preserve"> může instalace doplňku trvat i déle než 1h. Standartní doba je cca 15 minut. Sada vytváří mnoho úprav napříč systémem.</w:t>
      </w:r>
      <w:bookmarkStart w:id="3" w:name="_GoBack"/>
      <w:bookmarkEnd w:id="3"/>
    </w:p>
    <w:p w:rsidR="00FD53AD" w:rsidRDefault="00FD53AD" w:rsidP="00FD53AD">
      <w:pPr>
        <w:pStyle w:val="Nadpis2"/>
      </w:pPr>
      <w:r>
        <w:t>Import připravených šablon</w:t>
      </w:r>
    </w:p>
    <w:p w:rsidR="00FD53AD" w:rsidRDefault="00FD53AD" w:rsidP="00FD53AD">
      <w:r>
        <w:t xml:space="preserve">V číselníku Webové služby – Definice výpisů je tlačítko pro import. </w:t>
      </w:r>
    </w:p>
    <w:p w:rsidR="00FD53AD" w:rsidRDefault="00FD53AD" w:rsidP="00FD53AD">
      <w:r>
        <w:t xml:space="preserve">Po spuštění funkce se Vás systém dotáže na výběr souboru. Vyberte soubor dodaný s instalační sadou „default.xml“. Po potvrzení souboru bude systém cca 5 min importovat nastavení webových služeb. Které lze dále upravovat v agendách k tomu určených. </w:t>
      </w:r>
    </w:p>
    <w:p w:rsidR="00FD53AD" w:rsidRDefault="00FD53AD" w:rsidP="00FD53AD"/>
    <w:p w:rsidR="00FD53AD" w:rsidRDefault="00FD53AD" w:rsidP="00FD53AD">
      <w:pPr>
        <w:pStyle w:val="Nadpis1"/>
      </w:pPr>
      <w:r>
        <w:t>Nastavení</w:t>
      </w:r>
    </w:p>
    <w:p w:rsidR="00FD53AD" w:rsidRDefault="00FD53AD" w:rsidP="00FD53AD">
      <w:pPr>
        <w:pStyle w:val="Nadpis2"/>
      </w:pPr>
      <w:r>
        <w:t xml:space="preserve">Nutná nastavení IS ABRA po instalaci </w:t>
      </w:r>
    </w:p>
    <w:p w:rsidR="00FD53AD" w:rsidRDefault="00FD53AD" w:rsidP="00FD53AD">
      <w:r>
        <w:t>Aby systém správně fungoval, musí být v systému nastaveno několik věcí.</w:t>
      </w:r>
    </w:p>
    <w:p w:rsidR="00FD53AD" w:rsidRDefault="00FD53AD" w:rsidP="00C2202B">
      <w:pPr>
        <w:pStyle w:val="Nadpis3"/>
      </w:pPr>
      <w:r>
        <w:t>číselníky</w:t>
      </w:r>
    </w:p>
    <w:p w:rsidR="00FD53AD" w:rsidRDefault="00FD53AD" w:rsidP="00FD53AD">
      <w:r>
        <w:t>Většina číselníků používaných v systému editace objednávek má volby pro omezení počtu záznamů, které se v aplikaci ukazují. Jedná se o zatržítko „pro Web“. Jeho nastavení je ideální přes hromadné úpravy uživatelských položek a označení záznamů.</w:t>
      </w:r>
    </w:p>
    <w:p w:rsidR="00FD53AD" w:rsidRDefault="00FD53AD" w:rsidP="00FD53AD">
      <w:r>
        <w:t>Jedná se o číselníky</w:t>
      </w:r>
    </w:p>
    <w:p w:rsidR="00FD53AD" w:rsidRDefault="00C2202B" w:rsidP="00FD53AD">
      <w:pPr>
        <w:pStyle w:val="Odstavecseseznamem"/>
      </w:pPr>
      <w:r>
        <w:t xml:space="preserve">Číselník středisek </w:t>
      </w:r>
    </w:p>
    <w:p w:rsidR="00C2202B" w:rsidRDefault="00C2202B" w:rsidP="00FD53AD">
      <w:pPr>
        <w:pStyle w:val="Odstavecseseznamem"/>
      </w:pPr>
      <w:r>
        <w:t>Číselník projektů</w:t>
      </w:r>
    </w:p>
    <w:p w:rsidR="00C2202B" w:rsidRDefault="00C2202B" w:rsidP="00FD53AD">
      <w:pPr>
        <w:pStyle w:val="Odstavecseseznamem"/>
      </w:pPr>
      <w:r>
        <w:t>Číselník zakázek</w:t>
      </w:r>
    </w:p>
    <w:p w:rsidR="00C2202B" w:rsidRDefault="00C2202B" w:rsidP="00FD53AD">
      <w:pPr>
        <w:pStyle w:val="Odstavecseseznamem"/>
      </w:pPr>
      <w:r>
        <w:t>Typy nákladů / výdaje</w:t>
      </w:r>
    </w:p>
    <w:p w:rsidR="00C2202B" w:rsidRDefault="00C2202B" w:rsidP="00FD53AD">
      <w:pPr>
        <w:pStyle w:val="Odstavecseseznamem"/>
      </w:pPr>
      <w:r>
        <w:t>Měny</w:t>
      </w:r>
    </w:p>
    <w:p w:rsidR="00C2202B" w:rsidRDefault="00C2202B" w:rsidP="00FD53AD">
      <w:pPr>
        <w:pStyle w:val="Odstavecseseznamem"/>
      </w:pPr>
      <w:r>
        <w:t>Kategorie dokumentů</w:t>
      </w:r>
    </w:p>
    <w:p w:rsidR="00C2202B" w:rsidRDefault="00C2202B" w:rsidP="00FD53AD">
      <w:pPr>
        <w:pStyle w:val="Odstavecseseznamem"/>
      </w:pPr>
      <w:r>
        <w:t xml:space="preserve">Způsob úhrady </w:t>
      </w:r>
    </w:p>
    <w:p w:rsidR="00C2202B" w:rsidRDefault="00C2202B" w:rsidP="00C2202B">
      <w:pPr>
        <w:pStyle w:val="Nadpis3"/>
      </w:pPr>
      <w:r>
        <w:t>EMAIL</w:t>
      </w:r>
    </w:p>
    <w:p w:rsidR="00C2202B" w:rsidRDefault="00C2202B" w:rsidP="00C2202B">
      <w:r>
        <w:t>Systém musí mít alespoň jeden funkční emailový účet. Schvalování s uživateli komunikuje pouze přes email a automatizační úlohou generované zprávy.</w:t>
      </w:r>
    </w:p>
    <w:p w:rsidR="00C2202B" w:rsidRDefault="00C2202B" w:rsidP="00C2202B">
      <w:pPr>
        <w:pStyle w:val="Nadpis3"/>
      </w:pPr>
      <w:r>
        <w:t>Aktivity</w:t>
      </w:r>
    </w:p>
    <w:p w:rsidR="00C2202B" w:rsidRDefault="00C2202B" w:rsidP="00C2202B">
      <w:r>
        <w:t xml:space="preserve">Aktivity se v systému používají na evidenci vzkazů a komentářů. Pro jejich používání musí existovat typ aktivity typu neobchodní a všechny údaje mít nepovinné. Je zapotřebí, aby typ měl pouze jednu řadu dokladů. </w:t>
      </w:r>
    </w:p>
    <w:p w:rsidR="00C2202B" w:rsidRDefault="00C2202B" w:rsidP="00C2202B">
      <w:pPr>
        <w:pStyle w:val="Nadpis3"/>
      </w:pPr>
      <w:r>
        <w:lastRenderedPageBreak/>
        <w:t>Parametry systému</w:t>
      </w:r>
    </w:p>
    <w:p w:rsidR="00C2202B" w:rsidRDefault="00C2202B" w:rsidP="00C2202B">
      <w:r>
        <w:t>Pro schvalování je doporučeno nastavení použití rolí jako řídícího prvku procesů. Řešení po uživatelích způsobuje komplikace v nastavení oprávnění uživatelů.</w:t>
      </w:r>
    </w:p>
    <w:p w:rsidR="00C2202B" w:rsidRDefault="00C2202B" w:rsidP="00C2202B">
      <w:pPr>
        <w:pStyle w:val="Nadpis3"/>
      </w:pPr>
      <w:r>
        <w:t>Nastavení webových služeb</w:t>
      </w:r>
    </w:p>
    <w:p w:rsidR="00C2202B" w:rsidRDefault="00C2202B" w:rsidP="00C2202B">
      <w:r>
        <w:t xml:space="preserve">V modulu Webové služby </w:t>
      </w:r>
      <w:r w:rsidR="00203674">
        <w:t>–</w:t>
      </w:r>
      <w:r>
        <w:t xml:space="preserve"> </w:t>
      </w:r>
      <w:r w:rsidR="00203674">
        <w:t xml:space="preserve">Nastavení webových služeb – záložka konfigurace. </w:t>
      </w:r>
    </w:p>
    <w:p w:rsidR="00203674" w:rsidRPr="00C2202B" w:rsidRDefault="00203674" w:rsidP="00C2202B">
      <w:r>
        <w:rPr>
          <w:noProof/>
          <w:lang w:eastAsia="cs-CZ"/>
        </w:rPr>
        <w:drawing>
          <wp:inline distT="0" distB="0" distL="0" distR="0" wp14:anchorId="1BDDC965" wp14:editId="5D2B2D56">
            <wp:extent cx="5181600" cy="304803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9887" cy="304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3AD" w:rsidRPr="00FD53AD" w:rsidRDefault="00FD53AD" w:rsidP="00FD53AD"/>
    <w:p w:rsidR="00FD53AD" w:rsidRDefault="00203674" w:rsidP="00FD53AD">
      <w:r>
        <w:t xml:space="preserve">Zde je zapotřebí nastavit parametry, které doplněk použije pro svou funkci. </w:t>
      </w:r>
    </w:p>
    <w:p w:rsidR="00203674" w:rsidRDefault="00203674" w:rsidP="00203674">
      <w:pPr>
        <w:pStyle w:val="Odstavecseseznamem"/>
        <w:ind w:left="1418" w:hanging="567"/>
      </w:pPr>
      <w:r>
        <w:t>Mail účet se používá pro odesílání emailů generovaných doplňkem</w:t>
      </w:r>
    </w:p>
    <w:p w:rsidR="00203674" w:rsidRDefault="00203674" w:rsidP="00203674">
      <w:pPr>
        <w:pStyle w:val="Odstavecseseznamem"/>
        <w:ind w:left="1418" w:hanging="567"/>
      </w:pPr>
      <w:r>
        <w:t>WWW sschvalování je nastavení URL adresy, kde se schvalování nachází, používá se pro doplnění do emailů.</w:t>
      </w:r>
    </w:p>
    <w:p w:rsidR="00203674" w:rsidRDefault="00203674" w:rsidP="00203674">
      <w:pPr>
        <w:pStyle w:val="Odstavecseseznamem"/>
        <w:ind w:left="1418" w:hanging="567"/>
      </w:pPr>
      <w:r>
        <w:t>Kategorie přílohy – použito pro výchozí kategorii při zakládání dokladů v došlé poště</w:t>
      </w:r>
    </w:p>
    <w:p w:rsidR="00203674" w:rsidRDefault="00203674" w:rsidP="00203674">
      <w:pPr>
        <w:pStyle w:val="Odstavecseseznamem"/>
        <w:ind w:left="1418" w:hanging="567"/>
      </w:pPr>
      <w:r>
        <w:t>Popis přílohy – taktéž</w:t>
      </w:r>
    </w:p>
    <w:p w:rsidR="00203674" w:rsidRDefault="00203674" w:rsidP="00203674">
      <w:pPr>
        <w:pStyle w:val="Odstavecseseznamem"/>
        <w:ind w:left="1418" w:hanging="567"/>
      </w:pPr>
      <w:r>
        <w:t>Cesta k příloze – výchozí nastavení, kde systém nabídne výběr souborů</w:t>
      </w:r>
    </w:p>
    <w:p w:rsidR="00203674" w:rsidRDefault="00203674" w:rsidP="00203674">
      <w:pPr>
        <w:pStyle w:val="Odstavecseseznamem"/>
        <w:ind w:left="1418" w:hanging="567"/>
      </w:pPr>
      <w:r>
        <w:t xml:space="preserve">Varovný email – email na hlavního ekonoma, sem chodí emaily, pokud není správně nastaven email příjemce, nebo v případě neschváleného postupu uživatelů ABRA při zaúčtování neschváleného dokladu. </w:t>
      </w:r>
    </w:p>
    <w:p w:rsidR="00203674" w:rsidRDefault="00203674" w:rsidP="00203674">
      <w:pPr>
        <w:pStyle w:val="Odstavecseseznamem"/>
        <w:ind w:left="1418" w:hanging="567"/>
      </w:pPr>
      <w:r>
        <w:t xml:space="preserve">Komentáře před zaúčtováním / po zaúčtování dokladu – volby zda ukazovat komentáře schvalovatelů po zaúčtování dokladu. </w:t>
      </w:r>
    </w:p>
    <w:p w:rsidR="00203674" w:rsidRDefault="00203674" w:rsidP="00203674">
      <w:pPr>
        <w:pStyle w:val="Odstavecseseznamem"/>
        <w:ind w:left="1418" w:hanging="567"/>
      </w:pPr>
      <w:r>
        <w:t xml:space="preserve">Pošta – alternativní scénáře – z historických důvodů, u nových nasazení nepoužito. </w:t>
      </w:r>
    </w:p>
    <w:p w:rsidR="00203674" w:rsidRDefault="00203674" w:rsidP="00203674">
      <w:pPr>
        <w:pStyle w:val="Odstavecseseznamem"/>
        <w:ind w:left="1418" w:hanging="567"/>
      </w:pPr>
      <w:r>
        <w:t xml:space="preserve">Uživatel / heslo  - přístup uživatele, který má práva na odeslání emailu a tvorbu sestav. </w:t>
      </w:r>
    </w:p>
    <w:p w:rsidR="00203674" w:rsidRDefault="00203674" w:rsidP="00203674">
      <w:pPr>
        <w:pStyle w:val="Nadpis2"/>
      </w:pPr>
      <w:r>
        <w:t>Běžná nastavení uživatelů</w:t>
      </w:r>
    </w:p>
    <w:p w:rsidR="00203674" w:rsidRDefault="00203674" w:rsidP="00203674">
      <w:r>
        <w:t>Administrace uživatelů systému probíhá v modulu Uživatelé systému v sekci Administrace. Webové schvalování využívá přihlašovací aparát IS ABRA a uživatelé tedy musí být z pohledu ABRA aktivními uživateli s platným neprázdným heslem.</w:t>
      </w:r>
    </w:p>
    <w:p w:rsidR="00203674" w:rsidRDefault="00203674" w:rsidP="00203674">
      <w:r>
        <w:t xml:space="preserve">Pro založení uživatele je z původních údajů důležitý email. </w:t>
      </w:r>
    </w:p>
    <w:p w:rsidR="00203674" w:rsidRDefault="00203674" w:rsidP="00203674">
      <w:r>
        <w:t>Ostatní údaje jsou na záložce formuláře – výběr formuláře webové služby</w:t>
      </w:r>
    </w:p>
    <w:p w:rsidR="00203674" w:rsidRDefault="00203674" w:rsidP="00203674">
      <w:r>
        <w:rPr>
          <w:noProof/>
          <w:lang w:eastAsia="cs-CZ"/>
        </w:rPr>
        <w:lastRenderedPageBreak/>
        <w:drawing>
          <wp:inline distT="0" distB="0" distL="0" distR="0" wp14:anchorId="1EB3C109" wp14:editId="56A53F4C">
            <wp:extent cx="2457450" cy="4075932"/>
            <wp:effectExtent l="0" t="0" r="0" b="127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4075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AA7" w:rsidRDefault="00A46AA7" w:rsidP="00A46AA7">
      <w:pPr>
        <w:pStyle w:val="Nadpis3"/>
      </w:pPr>
      <w:r>
        <w:t>Webové moduly</w:t>
      </w:r>
    </w:p>
    <w:p w:rsidR="00203674" w:rsidRDefault="00203674" w:rsidP="00203674">
      <w:r>
        <w:t>Pole Webové moduly by mělo obsahovat seznam modulů, (co řádek, to modul) na které má uživatel právo s nimi pracovat. Aktuálně se jedná o moduly</w:t>
      </w:r>
    </w:p>
    <w:p w:rsidR="00203674" w:rsidRDefault="00203674" w:rsidP="00203674">
      <w:pPr>
        <w:pStyle w:val="Odstavecseseznamem"/>
      </w:pPr>
      <w:r>
        <w:t>TNxIssuedOrder – schvalování objednávek</w:t>
      </w:r>
    </w:p>
    <w:p w:rsidR="00203674" w:rsidRDefault="00203674" w:rsidP="00203674">
      <w:pPr>
        <w:pStyle w:val="Odstavecseseznamem"/>
      </w:pPr>
      <w:r>
        <w:t>TNxIssuedOrderAdd – přidávání objednávek</w:t>
      </w:r>
    </w:p>
    <w:p w:rsidR="00203674" w:rsidRDefault="00203674" w:rsidP="00203674">
      <w:pPr>
        <w:pStyle w:val="Odstavecseseznamem"/>
      </w:pPr>
      <w:r>
        <w:t>TNXPDMReceivedDoc – schvalování došlé pošty</w:t>
      </w:r>
    </w:p>
    <w:p w:rsidR="00203674" w:rsidRDefault="00A46AA7" w:rsidP="00A46AA7">
      <w:pPr>
        <w:pStyle w:val="Nadpis3"/>
      </w:pPr>
      <w:r>
        <w:t>Uživatel web</w:t>
      </w:r>
    </w:p>
    <w:p w:rsidR="00A46AA7" w:rsidRDefault="00A46AA7" w:rsidP="00203674">
      <w:pPr>
        <w:pStyle w:val="Odstavecseseznamem"/>
        <w:numPr>
          <w:ilvl w:val="0"/>
          <w:numId w:val="0"/>
        </w:numPr>
        <w:ind w:left="851"/>
      </w:pPr>
      <w:r>
        <w:t>Pole uživatel web omezuje, zda bude uživatel aktivní na webu, bez zaškrtátka se na webu nepřihlásí.</w:t>
      </w:r>
    </w:p>
    <w:p w:rsidR="00A46AA7" w:rsidRDefault="00A46AA7" w:rsidP="00203674">
      <w:pPr>
        <w:pStyle w:val="Odstavecseseznamem"/>
        <w:numPr>
          <w:ilvl w:val="0"/>
          <w:numId w:val="0"/>
        </w:numPr>
        <w:ind w:left="851"/>
      </w:pPr>
      <w:r>
        <w:t>Vidět všechny skupiny</w:t>
      </w:r>
    </w:p>
    <w:p w:rsidR="00A46AA7" w:rsidRDefault="00A46AA7" w:rsidP="00A46AA7">
      <w:pPr>
        <w:pStyle w:val="Nadpis3"/>
      </w:pPr>
      <w:r>
        <w:t>Skupiny</w:t>
      </w:r>
    </w:p>
    <w:p w:rsidR="00A46AA7" w:rsidRDefault="00A46AA7" w:rsidP="00A46AA7">
      <w:r>
        <w:t xml:space="preserve">Pole „Vidět všechny skupiny“ umožní uživateli, aby viděl doklady všech ostatních uživatelů, ale oni neuvidí jeho doklady, pokud nejsou ve stejné skupině jako on. </w:t>
      </w:r>
    </w:p>
    <w:p w:rsidR="00A46AA7" w:rsidRDefault="00A46AA7" w:rsidP="00A46AA7">
      <w:r>
        <w:t>Zařazení do skupin umožnuje sloučit uživatele. Pokud budou mít 2 ze 3 uživatelů stejnou skupinu, uvidí si na vzájem objednávky v editaci, ale třetí uživatel jejich objednávky neuvidí.  Je pravidlem, že ti, kteří mají zaškrtnutou alespoň jednu stejnou volbu, vidí své objednávky navzájem.</w:t>
      </w:r>
    </w:p>
    <w:p w:rsidR="00A46AA7" w:rsidRDefault="00A46AA7" w:rsidP="00A46AA7">
      <w:pPr>
        <w:pStyle w:val="Nadpis3"/>
      </w:pPr>
      <w:r>
        <w:t>Zakázané funkce</w:t>
      </w:r>
    </w:p>
    <w:p w:rsidR="00A46AA7" w:rsidRDefault="00A46AA7" w:rsidP="00A46AA7">
      <w:r>
        <w:t>Uživatelům se dají zakázat hromadné funkce napříč systémem webového schvalování. Používá se především u hromadné editace, čímž se uživatelům znemožní hromadné schvalování. Toto oprávnění se pak povolí (nezaškrtne) pouze u vedoucích pracovníků</w:t>
      </w:r>
    </w:p>
    <w:p w:rsidR="00A46AA7" w:rsidRDefault="00A46AA7" w:rsidP="00A46AA7">
      <w:pPr>
        <w:pStyle w:val="Nadpis2"/>
      </w:pPr>
      <w:r>
        <w:t>Generátor hesel</w:t>
      </w:r>
    </w:p>
    <w:p w:rsidR="00A46AA7" w:rsidRDefault="00A46AA7" w:rsidP="00A46AA7">
      <w:r>
        <w:t>Nastaví uživateli heslo „abra“ a odešle mu email s přístupovými údaji. Dá se použít v případě zapomenutí hesla, nebo při zadání nového uživatele. Funkce pracuje i nad výběrem záznamů.</w:t>
      </w:r>
    </w:p>
    <w:p w:rsidR="00A46AA7" w:rsidRDefault="00A46AA7" w:rsidP="00A46AA7">
      <w:pPr>
        <w:pStyle w:val="Nadpis2"/>
      </w:pPr>
      <w:r>
        <w:lastRenderedPageBreak/>
        <w:t>Import uživatelů</w:t>
      </w:r>
    </w:p>
    <w:p w:rsidR="00A46AA7" w:rsidRDefault="00A46AA7" w:rsidP="00A46AA7">
      <w:r>
        <w:t xml:space="preserve">Systém umí importovat uživatele z formátu CSV. Údaje oddělené středníkem bez uvozovek. Import neočekává úvodní řádek s hlavičkou sloupců. </w:t>
      </w:r>
    </w:p>
    <w:p w:rsidR="00A46AA7" w:rsidRDefault="00A46AA7" w:rsidP="00A46AA7">
      <w:r>
        <w:t>Pořadí polí je pevně dáno :</w:t>
      </w:r>
    </w:p>
    <w:p w:rsidR="00A46AA7" w:rsidRDefault="00A46AA7" w:rsidP="00A46AA7">
      <w:pPr>
        <w:pStyle w:val="Odstavecseseznamem"/>
      </w:pPr>
      <w:r>
        <w:t>Přihlašovací jméno</w:t>
      </w:r>
    </w:p>
    <w:p w:rsidR="00A46AA7" w:rsidRDefault="00A46AA7" w:rsidP="00A46AA7">
      <w:pPr>
        <w:pStyle w:val="Odstavecseseznamem"/>
      </w:pPr>
      <w:r>
        <w:t>Jméno</w:t>
      </w:r>
    </w:p>
    <w:p w:rsidR="00A46AA7" w:rsidRDefault="00A46AA7" w:rsidP="00A46AA7">
      <w:pPr>
        <w:pStyle w:val="Odstavecseseznamem"/>
      </w:pPr>
      <w:r>
        <w:t>Poznámka</w:t>
      </w:r>
    </w:p>
    <w:p w:rsidR="00A46AA7" w:rsidRDefault="00A46AA7" w:rsidP="00A46AA7">
      <w:pPr>
        <w:pStyle w:val="Odstavecseseznamem"/>
      </w:pPr>
      <w:r>
        <w:t>Email</w:t>
      </w:r>
    </w:p>
    <w:p w:rsidR="00A46AA7" w:rsidRDefault="00A46AA7" w:rsidP="00A46AA7">
      <w:pPr>
        <w:pStyle w:val="Odstavecseseznamem"/>
      </w:pPr>
      <w:r>
        <w:t>Telefon</w:t>
      </w:r>
    </w:p>
    <w:p w:rsidR="00A46AA7" w:rsidRDefault="00A46AA7" w:rsidP="00A46AA7">
      <w:pPr>
        <w:pStyle w:val="Odstavecseseznamem"/>
      </w:pPr>
      <w:r>
        <w:t>Lokace</w:t>
      </w:r>
    </w:p>
    <w:p w:rsidR="00A46AA7" w:rsidRDefault="00A46AA7" w:rsidP="00A46AA7">
      <w:r>
        <w:t>Uživatelům je při importu nastaveno heslo „abra“.</w:t>
      </w:r>
    </w:p>
    <w:p w:rsidR="00A46AA7" w:rsidRDefault="00A46AA7" w:rsidP="00A46AA7"/>
    <w:p w:rsidR="00203674" w:rsidRDefault="00203674" w:rsidP="00203674">
      <w:pPr>
        <w:pStyle w:val="Nadpis1"/>
      </w:pPr>
      <w:r>
        <w:t>podpora</w:t>
      </w:r>
    </w:p>
    <w:p w:rsidR="00E43793" w:rsidRDefault="00E43793" w:rsidP="00E43793">
      <w:r>
        <w:t xml:space="preserve">Technická podpora k produktu je poskytována firmou ABRA Software na speciálních číslech divize Software sollutions z Písku. </w:t>
      </w:r>
    </w:p>
    <w:p w:rsidR="00726EB4" w:rsidRPr="00726EB4" w:rsidRDefault="00E43793" w:rsidP="00726EB4">
      <w:r>
        <w:t xml:space="preserve">Tomáš Urban – vedoucí projektu  - tel. 777 211 547, email </w:t>
      </w:r>
      <w:hyperlink r:id="rId10" w:history="1">
        <w:r w:rsidRPr="005B4D47">
          <w:rPr>
            <w:rStyle w:val="Hypertextovodkaz"/>
            <w:sz w:val="18"/>
          </w:rPr>
          <w:t>tomas.urban@abra.eu</w:t>
        </w:r>
      </w:hyperlink>
      <w:r>
        <w:t xml:space="preserve"> </w:t>
      </w:r>
    </w:p>
    <w:p w:rsidR="00706934" w:rsidRPr="00706934" w:rsidRDefault="00706934" w:rsidP="00706934"/>
    <w:p w:rsidR="0026670B" w:rsidRPr="0026670B" w:rsidRDefault="0026670B" w:rsidP="0026670B"/>
    <w:p w:rsidR="004A43CB" w:rsidRPr="004A43CB" w:rsidRDefault="004A43CB" w:rsidP="004A43CB"/>
    <w:sectPr w:rsidR="004A43CB" w:rsidRPr="004A43CB" w:rsidSect="00BC47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61" w:right="1417" w:bottom="1418" w:left="1417" w:header="284" w:footer="7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2CA" w:rsidRDefault="002F02CA" w:rsidP="00C245B2">
      <w:pPr>
        <w:spacing w:before="0" w:after="0"/>
      </w:pPr>
      <w:r>
        <w:separator/>
      </w:r>
    </w:p>
  </w:endnote>
  <w:endnote w:type="continuationSeparator" w:id="0">
    <w:p w:rsidR="002F02CA" w:rsidRDefault="002F02CA" w:rsidP="00C245B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C2A" w:rsidRDefault="00182C2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248232028"/>
      <w:docPartObj>
        <w:docPartGallery w:val="Page Numbers (Top of Page)"/>
        <w:docPartUnique/>
      </w:docPartObj>
    </w:sdtPr>
    <w:sdtEndPr>
      <w:rPr>
        <w:color w:val="808080" w:themeColor="background1" w:themeShade="80"/>
      </w:rPr>
    </w:sdtEndPr>
    <w:sdtContent>
      <w:p w:rsidR="00182C2A" w:rsidRDefault="00182C2A" w:rsidP="003D369F">
        <w:pPr>
          <w:pStyle w:val="Zpat"/>
          <w:tabs>
            <w:tab w:val="clear" w:pos="9072"/>
            <w:tab w:val="left" w:pos="8080"/>
            <w:tab w:val="right" w:pos="9923"/>
          </w:tabs>
          <w:ind w:left="0"/>
          <w:rPr>
            <w:sz w:val="16"/>
            <w:szCs w:val="16"/>
          </w:rPr>
        </w:pPr>
        <w:r>
          <w:rPr>
            <w:noProof/>
            <w:sz w:val="16"/>
            <w:szCs w:val="16"/>
            <w:lang w:eastAsia="cs-CZ"/>
          </w:rPr>
          <w:drawing>
            <wp:anchor distT="0" distB="0" distL="114300" distR="114300" simplePos="0" relativeHeight="251658240" behindDoc="1" locked="0" layoutInCell="1" allowOverlap="1" wp14:anchorId="19163473" wp14:editId="03E6E624">
              <wp:simplePos x="0" y="0"/>
              <wp:positionH relativeFrom="column">
                <wp:posOffset>-902335</wp:posOffset>
              </wp:positionH>
              <wp:positionV relativeFrom="paragraph">
                <wp:posOffset>-370840</wp:posOffset>
              </wp:positionV>
              <wp:extent cx="7596000" cy="1075079"/>
              <wp:effectExtent l="0" t="0" r="5080" b="0"/>
              <wp:wrapNone/>
              <wp:docPr id="15" name="Obrázek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ABRA-Hlavickovy-Papir-A4-2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96000" cy="107507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Pr="005F13B1">
          <w:rPr>
            <w:b/>
            <w:bCs/>
            <w:color w:val="808080" w:themeColor="background1" w:themeShade="80"/>
            <w:szCs w:val="18"/>
          </w:rPr>
          <w:fldChar w:fldCharType="begin"/>
        </w:r>
        <w:r w:rsidRPr="005F13B1">
          <w:rPr>
            <w:b/>
            <w:bCs/>
            <w:color w:val="808080" w:themeColor="background1" w:themeShade="80"/>
            <w:szCs w:val="18"/>
          </w:rPr>
          <w:instrText>PAGE</w:instrText>
        </w:r>
        <w:r w:rsidRPr="005F13B1">
          <w:rPr>
            <w:b/>
            <w:bCs/>
            <w:color w:val="808080" w:themeColor="background1" w:themeShade="80"/>
            <w:szCs w:val="18"/>
          </w:rPr>
          <w:fldChar w:fldCharType="separate"/>
        </w:r>
        <w:r w:rsidR="00570E53">
          <w:rPr>
            <w:b/>
            <w:bCs/>
            <w:noProof/>
            <w:color w:val="808080" w:themeColor="background1" w:themeShade="80"/>
            <w:szCs w:val="18"/>
          </w:rPr>
          <w:t>2</w:t>
        </w:r>
        <w:r w:rsidRPr="005F13B1">
          <w:rPr>
            <w:b/>
            <w:bCs/>
            <w:color w:val="808080" w:themeColor="background1" w:themeShade="80"/>
            <w:szCs w:val="18"/>
          </w:rPr>
          <w:fldChar w:fldCharType="end"/>
        </w:r>
        <w:r w:rsidRPr="005F13B1">
          <w:rPr>
            <w:color w:val="808080" w:themeColor="background1" w:themeShade="80"/>
            <w:szCs w:val="18"/>
          </w:rPr>
          <w:t xml:space="preserve"> z </w:t>
        </w:r>
        <w:r w:rsidRPr="005F13B1">
          <w:rPr>
            <w:b/>
            <w:bCs/>
            <w:color w:val="808080" w:themeColor="background1" w:themeShade="80"/>
            <w:szCs w:val="18"/>
          </w:rPr>
          <w:fldChar w:fldCharType="begin"/>
        </w:r>
        <w:r w:rsidRPr="005F13B1">
          <w:rPr>
            <w:b/>
            <w:bCs/>
            <w:color w:val="808080" w:themeColor="background1" w:themeShade="80"/>
            <w:szCs w:val="18"/>
          </w:rPr>
          <w:instrText>NUMPAGES</w:instrText>
        </w:r>
        <w:r w:rsidRPr="005F13B1">
          <w:rPr>
            <w:b/>
            <w:bCs/>
            <w:color w:val="808080" w:themeColor="background1" w:themeShade="80"/>
            <w:szCs w:val="18"/>
          </w:rPr>
          <w:fldChar w:fldCharType="separate"/>
        </w:r>
        <w:r w:rsidR="00570E53">
          <w:rPr>
            <w:b/>
            <w:bCs/>
            <w:noProof/>
            <w:color w:val="808080" w:themeColor="background1" w:themeShade="80"/>
            <w:szCs w:val="18"/>
          </w:rPr>
          <w:t>5</w:t>
        </w:r>
        <w:r w:rsidRPr="005F13B1">
          <w:rPr>
            <w:b/>
            <w:bCs/>
            <w:color w:val="808080" w:themeColor="background1" w:themeShade="80"/>
            <w:szCs w:val="18"/>
          </w:rPr>
          <w:fldChar w:fldCharType="end"/>
        </w:r>
      </w:p>
    </w:sdtContent>
  </w:sdt>
  <w:p w:rsidR="00182C2A" w:rsidRDefault="00182C2A" w:rsidP="00C245B2">
    <w:pPr>
      <w:pStyle w:val="Zpat"/>
      <w:ind w:left="0"/>
    </w:pPr>
    <w:r>
      <w:rPr>
        <w:noProof/>
        <w:lang w:eastAsia="cs-CZ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C2A" w:rsidRDefault="00182C2A" w:rsidP="003D369F">
    <w:pPr>
      <w:pStyle w:val="Zpat"/>
      <w:ind w:left="-1417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0730FE0" wp14:editId="5934A737">
          <wp:simplePos x="0" y="0"/>
          <wp:positionH relativeFrom="column">
            <wp:posOffset>-902335</wp:posOffset>
          </wp:positionH>
          <wp:positionV relativeFrom="paragraph">
            <wp:posOffset>-473710</wp:posOffset>
          </wp:positionV>
          <wp:extent cx="7596000" cy="1075079"/>
          <wp:effectExtent l="0" t="0" r="508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RA-Hlavickovy-Papir-A4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75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2CA" w:rsidRDefault="002F02CA" w:rsidP="00C245B2">
      <w:pPr>
        <w:spacing w:before="0" w:after="0"/>
      </w:pPr>
      <w:r>
        <w:separator/>
      </w:r>
    </w:p>
  </w:footnote>
  <w:footnote w:type="continuationSeparator" w:id="0">
    <w:p w:rsidR="002F02CA" w:rsidRDefault="002F02CA" w:rsidP="00C245B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C2A" w:rsidRDefault="00182C2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C2A" w:rsidRDefault="00182C2A" w:rsidP="003D369F">
    <w:pPr>
      <w:pStyle w:val="Zhlav"/>
      <w:ind w:left="-1417"/>
    </w:pPr>
    <w:r>
      <w:rPr>
        <w:noProof/>
        <w:lang w:eastAsia="cs-CZ"/>
      </w:rPr>
      <w:drawing>
        <wp:inline distT="0" distB="0" distL="0" distR="0" wp14:anchorId="57EA9149" wp14:editId="5CD49208">
          <wp:extent cx="7560000" cy="920612"/>
          <wp:effectExtent l="0" t="0" r="3175" b="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RA-Hlavickovy-Papir-A4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0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C2A" w:rsidRDefault="00182C2A" w:rsidP="003D369F">
    <w:pPr>
      <w:pStyle w:val="Zhlav"/>
      <w:ind w:left="-1417"/>
    </w:pPr>
    <w:r>
      <w:rPr>
        <w:noProof/>
        <w:lang w:eastAsia="cs-CZ"/>
      </w:rPr>
      <w:drawing>
        <wp:inline distT="0" distB="0" distL="0" distR="0" wp14:anchorId="6A86F894" wp14:editId="56FB442B">
          <wp:extent cx="7560000" cy="920612"/>
          <wp:effectExtent l="0" t="0" r="3175" b="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RA-Hlavickovy-Papir-A4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0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A4420"/>
    <w:multiLevelType w:val="multilevel"/>
    <w:tmpl w:val="281C1F3C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16FE4532"/>
    <w:multiLevelType w:val="hybridMultilevel"/>
    <w:tmpl w:val="C50CE8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2A82F1B"/>
    <w:multiLevelType w:val="hybridMultilevel"/>
    <w:tmpl w:val="E32EEF58"/>
    <w:lvl w:ilvl="0" w:tplc="6186B1C2">
      <w:numFmt w:val="bullet"/>
      <w:lvlText w:val="-"/>
      <w:lvlJc w:val="left"/>
      <w:pPr>
        <w:ind w:left="1211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5B402C9"/>
    <w:multiLevelType w:val="hybridMultilevel"/>
    <w:tmpl w:val="148EF5F8"/>
    <w:lvl w:ilvl="0" w:tplc="0CF4602C">
      <w:start w:val="1"/>
      <w:numFmt w:val="bullet"/>
      <w:pStyle w:val="Odstavecseseznamem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1C62B0"/>
        <w:sz w:val="24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D330945"/>
    <w:multiLevelType w:val="hybridMultilevel"/>
    <w:tmpl w:val="7C900C7E"/>
    <w:lvl w:ilvl="0" w:tplc="197AAEF4">
      <w:numFmt w:val="bullet"/>
      <w:lvlText w:val="-"/>
      <w:lvlJc w:val="left"/>
      <w:pPr>
        <w:ind w:left="1211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3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82"/>
    <w:rsid w:val="000818EA"/>
    <w:rsid w:val="000B7212"/>
    <w:rsid w:val="00171192"/>
    <w:rsid w:val="00182C2A"/>
    <w:rsid w:val="00203674"/>
    <w:rsid w:val="002417F0"/>
    <w:rsid w:val="0026670B"/>
    <w:rsid w:val="002F02CA"/>
    <w:rsid w:val="002F2277"/>
    <w:rsid w:val="003118ED"/>
    <w:rsid w:val="003C4256"/>
    <w:rsid w:val="003D369F"/>
    <w:rsid w:val="003F6CD8"/>
    <w:rsid w:val="00414FF2"/>
    <w:rsid w:val="00433D07"/>
    <w:rsid w:val="00464EF5"/>
    <w:rsid w:val="00477765"/>
    <w:rsid w:val="004A43CB"/>
    <w:rsid w:val="004F7BFC"/>
    <w:rsid w:val="00524DD4"/>
    <w:rsid w:val="00530873"/>
    <w:rsid w:val="0054159A"/>
    <w:rsid w:val="00555722"/>
    <w:rsid w:val="00570E53"/>
    <w:rsid w:val="005D6AAA"/>
    <w:rsid w:val="005F13B1"/>
    <w:rsid w:val="006046A4"/>
    <w:rsid w:val="006325B3"/>
    <w:rsid w:val="006528BC"/>
    <w:rsid w:val="0066512C"/>
    <w:rsid w:val="006B55B9"/>
    <w:rsid w:val="006E4F8B"/>
    <w:rsid w:val="00706934"/>
    <w:rsid w:val="00706E86"/>
    <w:rsid w:val="00726EB4"/>
    <w:rsid w:val="00755295"/>
    <w:rsid w:val="00760F39"/>
    <w:rsid w:val="007909E7"/>
    <w:rsid w:val="007D0682"/>
    <w:rsid w:val="007D63FC"/>
    <w:rsid w:val="007D6614"/>
    <w:rsid w:val="00811D16"/>
    <w:rsid w:val="008558DB"/>
    <w:rsid w:val="00992762"/>
    <w:rsid w:val="009D4066"/>
    <w:rsid w:val="00A0452F"/>
    <w:rsid w:val="00A4649D"/>
    <w:rsid w:val="00A46AA7"/>
    <w:rsid w:val="00A726B0"/>
    <w:rsid w:val="00AF4967"/>
    <w:rsid w:val="00AF69BB"/>
    <w:rsid w:val="00B1060A"/>
    <w:rsid w:val="00B52A5E"/>
    <w:rsid w:val="00B725EE"/>
    <w:rsid w:val="00BA608B"/>
    <w:rsid w:val="00BC470B"/>
    <w:rsid w:val="00C106EF"/>
    <w:rsid w:val="00C2202B"/>
    <w:rsid w:val="00C245B2"/>
    <w:rsid w:val="00D30F71"/>
    <w:rsid w:val="00D313E8"/>
    <w:rsid w:val="00D64473"/>
    <w:rsid w:val="00D76124"/>
    <w:rsid w:val="00DB0949"/>
    <w:rsid w:val="00E30648"/>
    <w:rsid w:val="00E43793"/>
    <w:rsid w:val="00E9310C"/>
    <w:rsid w:val="00EE5BAC"/>
    <w:rsid w:val="00F11FD2"/>
    <w:rsid w:val="00FD53AD"/>
    <w:rsid w:val="00FE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89D604-4A8D-45D3-9BB4-72C1CE14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45B2"/>
    <w:pPr>
      <w:spacing w:before="120" w:after="120"/>
      <w:ind w:left="851"/>
      <w:jc w:val="both"/>
    </w:pPr>
    <w:rPr>
      <w:rFonts w:ascii="Arial" w:eastAsia="MS Mincho" w:hAnsi="Arial"/>
      <w:sz w:val="18"/>
      <w:szCs w:val="24"/>
      <w:lang w:eastAsia="ja-JP"/>
    </w:rPr>
  </w:style>
  <w:style w:type="paragraph" w:styleId="Nadpis1">
    <w:name w:val="heading 1"/>
    <w:basedOn w:val="Normln"/>
    <w:next w:val="Normln"/>
    <w:link w:val="Nadpis1Char"/>
    <w:qFormat/>
    <w:rsid w:val="00C245B2"/>
    <w:pPr>
      <w:keepNext/>
      <w:numPr>
        <w:numId w:val="8"/>
      </w:numPr>
      <w:ind w:left="851" w:hanging="851"/>
      <w:outlineLvl w:val="0"/>
    </w:pPr>
    <w:rPr>
      <w:rFonts w:cs="Arial"/>
      <w:b/>
      <w:bCs/>
      <w:caps/>
      <w:color w:val="1C62B0"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qFormat/>
    <w:rsid w:val="00C245B2"/>
    <w:pPr>
      <w:keepNext/>
      <w:numPr>
        <w:ilvl w:val="1"/>
        <w:numId w:val="8"/>
      </w:numPr>
      <w:spacing w:before="240" w:after="240"/>
      <w:ind w:left="851" w:hanging="851"/>
      <w:jc w:val="left"/>
      <w:outlineLvl w:val="1"/>
    </w:pPr>
    <w:rPr>
      <w:rFonts w:cs="Arial"/>
      <w:b/>
      <w:bCs/>
      <w:caps/>
      <w:color w:val="1C62B0"/>
      <w:sz w:val="22"/>
      <w:szCs w:val="28"/>
    </w:rPr>
  </w:style>
  <w:style w:type="paragraph" w:styleId="Nadpis3">
    <w:name w:val="heading 3"/>
    <w:basedOn w:val="Normln"/>
    <w:next w:val="Normln"/>
    <w:link w:val="Nadpis3Char"/>
    <w:qFormat/>
    <w:rsid w:val="00C245B2"/>
    <w:pPr>
      <w:keepNext/>
      <w:numPr>
        <w:ilvl w:val="2"/>
        <w:numId w:val="8"/>
      </w:numPr>
      <w:ind w:left="851" w:hanging="851"/>
      <w:jc w:val="left"/>
      <w:outlineLvl w:val="2"/>
    </w:pPr>
    <w:rPr>
      <w:rFonts w:cs="Arial"/>
      <w:bCs/>
      <w:caps/>
      <w:color w:val="1C62B0"/>
      <w:sz w:val="20"/>
      <w:szCs w:val="26"/>
    </w:rPr>
  </w:style>
  <w:style w:type="paragraph" w:styleId="Nadpis4">
    <w:name w:val="heading 4"/>
    <w:basedOn w:val="Normln"/>
    <w:next w:val="Normln"/>
    <w:link w:val="Nadpis4Char"/>
    <w:qFormat/>
    <w:rsid w:val="00C245B2"/>
    <w:pPr>
      <w:keepNext/>
      <w:numPr>
        <w:ilvl w:val="3"/>
        <w:numId w:val="8"/>
      </w:numPr>
      <w:ind w:left="851" w:hanging="851"/>
      <w:jc w:val="left"/>
      <w:outlineLvl w:val="3"/>
    </w:pPr>
    <w:rPr>
      <w:bCs/>
      <w:caps/>
      <w:color w:val="1C62B0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245B2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45B2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245B2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245B2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-popis">
    <w:name w:val="Normální - popis"/>
    <w:basedOn w:val="Normln"/>
    <w:link w:val="Normln-popisChar"/>
    <w:qFormat/>
    <w:rsid w:val="00C245B2"/>
    <w:rPr>
      <w:i/>
    </w:rPr>
  </w:style>
  <w:style w:type="character" w:customStyle="1" w:styleId="Normln-popisChar">
    <w:name w:val="Normální - popis Char"/>
    <w:basedOn w:val="Standardnpsmoodstavce"/>
    <w:link w:val="Normln-popis"/>
    <w:rsid w:val="00C245B2"/>
    <w:rPr>
      <w:rFonts w:ascii="Arial" w:eastAsia="MS Mincho" w:hAnsi="Arial"/>
      <w:i/>
      <w:sz w:val="18"/>
      <w:szCs w:val="24"/>
      <w:lang w:eastAsia="ja-JP"/>
    </w:rPr>
  </w:style>
  <w:style w:type="paragraph" w:customStyle="1" w:styleId="Protabulku">
    <w:name w:val="Pro tabulku"/>
    <w:basedOn w:val="Normln-popis"/>
    <w:next w:val="Normln"/>
    <w:link w:val="ProtabulkuChar"/>
    <w:qFormat/>
    <w:rsid w:val="00C245B2"/>
    <w:pPr>
      <w:spacing w:before="0" w:after="0"/>
      <w:ind w:left="0" w:right="284"/>
    </w:pPr>
    <w:rPr>
      <w:caps/>
    </w:rPr>
  </w:style>
  <w:style w:type="character" w:customStyle="1" w:styleId="ProtabulkuChar">
    <w:name w:val="Pro tabulku Char"/>
    <w:basedOn w:val="Normln-popisChar"/>
    <w:link w:val="Protabulku"/>
    <w:rsid w:val="00C245B2"/>
    <w:rPr>
      <w:rFonts w:ascii="Arial" w:eastAsia="MS Mincho" w:hAnsi="Arial"/>
      <w:i/>
      <w:caps/>
      <w:sz w:val="18"/>
      <w:szCs w:val="24"/>
      <w:lang w:eastAsia="ja-JP"/>
    </w:rPr>
  </w:style>
  <w:style w:type="character" w:customStyle="1" w:styleId="Nadpis1Char">
    <w:name w:val="Nadpis 1 Char"/>
    <w:basedOn w:val="Standardnpsmoodstavce"/>
    <w:link w:val="Nadpis1"/>
    <w:rsid w:val="00C245B2"/>
    <w:rPr>
      <w:rFonts w:ascii="Arial" w:eastAsia="MS Mincho" w:hAnsi="Arial" w:cs="Arial"/>
      <w:b/>
      <w:bCs/>
      <w:caps/>
      <w:color w:val="1C62B0"/>
      <w:kern w:val="32"/>
      <w:sz w:val="24"/>
      <w:szCs w:val="32"/>
      <w:lang w:eastAsia="ja-JP"/>
    </w:rPr>
  </w:style>
  <w:style w:type="character" w:customStyle="1" w:styleId="Nadpis2Char">
    <w:name w:val="Nadpis 2 Char"/>
    <w:basedOn w:val="Standardnpsmoodstavce"/>
    <w:link w:val="Nadpis2"/>
    <w:rsid w:val="00C245B2"/>
    <w:rPr>
      <w:rFonts w:ascii="Arial" w:eastAsia="MS Mincho" w:hAnsi="Arial" w:cs="Arial"/>
      <w:b/>
      <w:bCs/>
      <w:caps/>
      <w:color w:val="1C62B0"/>
      <w:sz w:val="22"/>
      <w:szCs w:val="28"/>
      <w:lang w:eastAsia="ja-JP"/>
    </w:rPr>
  </w:style>
  <w:style w:type="character" w:customStyle="1" w:styleId="Nadpis3Char">
    <w:name w:val="Nadpis 3 Char"/>
    <w:basedOn w:val="Standardnpsmoodstavce"/>
    <w:link w:val="Nadpis3"/>
    <w:rsid w:val="00C245B2"/>
    <w:rPr>
      <w:rFonts w:ascii="Arial" w:eastAsia="MS Mincho" w:hAnsi="Arial" w:cs="Arial"/>
      <w:bCs/>
      <w:caps/>
      <w:color w:val="1C62B0"/>
      <w:szCs w:val="26"/>
      <w:lang w:eastAsia="ja-JP"/>
    </w:rPr>
  </w:style>
  <w:style w:type="character" w:customStyle="1" w:styleId="Nadpis4Char">
    <w:name w:val="Nadpis 4 Char"/>
    <w:basedOn w:val="Standardnpsmoodstavce"/>
    <w:link w:val="Nadpis4"/>
    <w:rsid w:val="00C245B2"/>
    <w:rPr>
      <w:rFonts w:ascii="Arial" w:eastAsia="MS Mincho" w:hAnsi="Arial"/>
      <w:bCs/>
      <w:caps/>
      <w:color w:val="1C62B0"/>
      <w:sz w:val="18"/>
      <w:szCs w:val="28"/>
      <w:lang w:eastAsia="ja-JP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245B2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  <w:lang w:eastAsia="ja-JP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45B2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  <w:lang w:eastAsia="ja-JP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245B2"/>
    <w:rPr>
      <w:rFonts w:asciiTheme="majorHAnsi" w:eastAsiaTheme="majorEastAsia" w:hAnsiTheme="majorHAnsi" w:cstheme="majorBidi"/>
      <w:color w:val="404040" w:themeColor="text1" w:themeTint="BF"/>
      <w:sz w:val="18"/>
      <w:lang w:eastAsia="ja-JP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245B2"/>
    <w:rPr>
      <w:rFonts w:asciiTheme="majorHAnsi" w:eastAsiaTheme="majorEastAsia" w:hAnsiTheme="majorHAnsi" w:cstheme="majorBidi"/>
      <w:i/>
      <w:iCs/>
      <w:color w:val="404040" w:themeColor="text1" w:themeTint="BF"/>
      <w:sz w:val="18"/>
      <w:lang w:eastAsia="ja-JP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245B2"/>
    <w:pPr>
      <w:ind w:left="1134"/>
    </w:pPr>
    <w:rPr>
      <w:bCs/>
      <w:sz w:val="16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B1060A"/>
    <w:pPr>
      <w:spacing w:after="60"/>
      <w:ind w:left="0"/>
      <w:jc w:val="left"/>
      <w:outlineLvl w:val="0"/>
    </w:pPr>
    <w:rPr>
      <w:rFonts w:eastAsia="Times New Roman"/>
      <w:b/>
      <w:bCs/>
      <w:caps/>
      <w:color w:val="1C62B0"/>
      <w:kern w:val="28"/>
      <w:sz w:val="44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B1060A"/>
    <w:rPr>
      <w:rFonts w:ascii="Arial" w:hAnsi="Arial"/>
      <w:b/>
      <w:bCs/>
      <w:caps/>
      <w:color w:val="1C62B0"/>
      <w:kern w:val="28"/>
      <w:sz w:val="44"/>
      <w:szCs w:val="32"/>
      <w:lang w:eastAsia="ja-JP"/>
    </w:rPr>
  </w:style>
  <w:style w:type="paragraph" w:styleId="Podtitul">
    <w:name w:val="Subtitle"/>
    <w:basedOn w:val="Normln"/>
    <w:next w:val="Normln"/>
    <w:link w:val="PodtitulChar"/>
    <w:uiPriority w:val="11"/>
    <w:qFormat/>
    <w:rsid w:val="00C245B2"/>
    <w:pPr>
      <w:spacing w:after="60"/>
      <w:outlineLvl w:val="1"/>
    </w:pPr>
    <w:rPr>
      <w:rFonts w:eastAsia="Times New Roman"/>
      <w:caps/>
      <w:sz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245B2"/>
    <w:rPr>
      <w:rFonts w:ascii="Arial" w:hAnsi="Arial"/>
      <w:caps/>
      <w:sz w:val="24"/>
      <w:szCs w:val="24"/>
      <w:lang w:eastAsia="ja-JP"/>
    </w:rPr>
  </w:style>
  <w:style w:type="character" w:styleId="Zdraznn">
    <w:name w:val="Emphasis"/>
    <w:basedOn w:val="Standardnpsmoodstavce"/>
    <w:qFormat/>
    <w:rsid w:val="00C245B2"/>
    <w:rPr>
      <w:i/>
      <w:iCs/>
    </w:rPr>
  </w:style>
  <w:style w:type="paragraph" w:styleId="Bezmezer">
    <w:name w:val="No Spacing"/>
    <w:uiPriority w:val="1"/>
    <w:qFormat/>
    <w:rsid w:val="00C245B2"/>
    <w:pPr>
      <w:ind w:left="284"/>
    </w:pPr>
    <w:rPr>
      <w:rFonts w:ascii="Arial" w:eastAsia="MS Mincho" w:hAnsi="Arial"/>
      <w:sz w:val="18"/>
      <w:szCs w:val="24"/>
      <w:lang w:eastAsia="ja-JP"/>
    </w:rPr>
  </w:style>
  <w:style w:type="paragraph" w:styleId="Odstavecseseznamem">
    <w:name w:val="List Paragraph"/>
    <w:basedOn w:val="Normln"/>
    <w:qFormat/>
    <w:rsid w:val="00D64473"/>
    <w:pPr>
      <w:numPr>
        <w:numId w:val="9"/>
      </w:numPr>
      <w:spacing w:after="200"/>
      <w:ind w:left="851" w:firstLine="0"/>
      <w:contextualSpacing/>
    </w:pPr>
    <w:rPr>
      <w:rFonts w:eastAsia="Calibri"/>
      <w:szCs w:val="22"/>
      <w:lang w:eastAsia="en-US"/>
    </w:rPr>
  </w:style>
  <w:style w:type="character" w:styleId="Zdraznnintenzivn">
    <w:name w:val="Intense Emphasis"/>
    <w:uiPriority w:val="21"/>
    <w:qFormat/>
    <w:rsid w:val="00C245B2"/>
    <w:rPr>
      <w:rFonts w:ascii="Arial" w:hAnsi="Arial"/>
      <w:b/>
      <w:bCs/>
      <w:i/>
      <w:iCs/>
      <w:color w:val="4F81BD"/>
      <w:sz w:val="1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245B2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245B2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245B2"/>
    <w:rPr>
      <w:rFonts w:ascii="Arial" w:eastAsia="MS Mincho" w:hAnsi="Arial"/>
      <w:sz w:val="18"/>
      <w:szCs w:val="24"/>
      <w:lang w:eastAsia="ja-JP"/>
    </w:rPr>
  </w:style>
  <w:style w:type="paragraph" w:styleId="Zpat">
    <w:name w:val="footer"/>
    <w:basedOn w:val="Normln"/>
    <w:link w:val="ZpatChar"/>
    <w:uiPriority w:val="99"/>
    <w:unhideWhenUsed/>
    <w:rsid w:val="00C245B2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245B2"/>
    <w:rPr>
      <w:rFonts w:ascii="Arial" w:eastAsia="MS Mincho" w:hAnsi="Arial"/>
      <w:sz w:val="18"/>
      <w:szCs w:val="24"/>
      <w:lang w:eastAsia="ja-JP"/>
    </w:rPr>
  </w:style>
  <w:style w:type="paragraph" w:styleId="Prosttext">
    <w:name w:val="Plain Text"/>
    <w:basedOn w:val="Normln"/>
    <w:link w:val="ProsttextChar"/>
    <w:rsid w:val="00C245B2"/>
    <w:pPr>
      <w:ind w:left="720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rsid w:val="00C245B2"/>
    <w:rPr>
      <w:rFonts w:ascii="Courier New" w:eastAsia="MS Mincho" w:hAnsi="Courier New" w:cs="Courier New"/>
      <w:sz w:val="18"/>
      <w:lang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060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060A"/>
    <w:rPr>
      <w:rFonts w:ascii="Tahoma" w:eastAsia="MS Mincho" w:hAnsi="Tahoma" w:cs="Tahoma"/>
      <w:sz w:val="16"/>
      <w:szCs w:val="16"/>
      <w:lang w:eastAsia="ja-JP"/>
    </w:rPr>
  </w:style>
  <w:style w:type="table" w:styleId="Mkatabulky">
    <w:name w:val="Table Grid"/>
    <w:basedOn w:val="Normlntabulka"/>
    <w:uiPriority w:val="59"/>
    <w:rsid w:val="004A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1">
    <w:name w:val="Light List Accent 1"/>
    <w:basedOn w:val="Normlntabulka"/>
    <w:uiPriority w:val="61"/>
    <w:rsid w:val="004A43C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3C4256"/>
    <w:pPr>
      <w:tabs>
        <w:tab w:val="left" w:pos="540"/>
        <w:tab w:val="right" w:leader="dot" w:pos="9062"/>
      </w:tabs>
      <w:ind w:hanging="851"/>
      <w:jc w:val="left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3C4256"/>
    <w:pPr>
      <w:tabs>
        <w:tab w:val="left" w:pos="720"/>
        <w:tab w:val="right" w:leader="dot" w:pos="9062"/>
      </w:tabs>
      <w:ind w:hanging="851"/>
      <w:jc w:val="left"/>
    </w:pPr>
    <w:rPr>
      <w: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3C4256"/>
    <w:pPr>
      <w:tabs>
        <w:tab w:val="left" w:pos="1080"/>
        <w:tab w:val="right" w:leader="dot" w:pos="9062"/>
      </w:tabs>
      <w:ind w:hanging="851"/>
      <w:jc w:val="left"/>
    </w:pPr>
    <w:rPr>
      <w:iCs/>
      <w:caps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6670B"/>
    <w:pPr>
      <w:tabs>
        <w:tab w:val="left" w:pos="1440"/>
        <w:tab w:val="right" w:leader="dot" w:pos="9062"/>
      </w:tabs>
      <w:ind w:hanging="851"/>
      <w:jc w:val="left"/>
    </w:pPr>
    <w:rPr>
      <w:caps/>
      <w:sz w:val="16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4A43CB"/>
    <w:pPr>
      <w:spacing w:before="0" w:after="0"/>
      <w:ind w:left="720"/>
      <w:jc w:val="left"/>
    </w:pPr>
    <w:rPr>
      <w:rFonts w:asciiTheme="minorHAnsi" w:hAnsiTheme="minorHAnsi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4A43CB"/>
    <w:pPr>
      <w:spacing w:before="0" w:after="0"/>
      <w:ind w:left="900"/>
      <w:jc w:val="left"/>
    </w:pPr>
    <w:rPr>
      <w:rFonts w:asciiTheme="minorHAnsi" w:hAnsiTheme="minorHAnsi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4A43CB"/>
    <w:pPr>
      <w:spacing w:before="0" w:after="0"/>
      <w:ind w:left="1080"/>
      <w:jc w:val="left"/>
    </w:pPr>
    <w:rPr>
      <w:rFonts w:asciiTheme="minorHAnsi" w:hAnsiTheme="minorHAnsi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4A43CB"/>
    <w:pPr>
      <w:spacing w:before="0" w:after="0"/>
      <w:ind w:left="1260"/>
      <w:jc w:val="left"/>
    </w:pPr>
    <w:rPr>
      <w:rFonts w:asciiTheme="minorHAnsi" w:hAnsiTheme="minorHAnsi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4A43CB"/>
    <w:pPr>
      <w:spacing w:before="0" w:after="0"/>
      <w:ind w:left="1440"/>
      <w:jc w:val="left"/>
    </w:pPr>
    <w:rPr>
      <w:rFonts w:asciiTheme="minorHAnsi" w:hAnsiTheme="minorHAnsi"/>
      <w:szCs w:val="18"/>
    </w:rPr>
  </w:style>
  <w:style w:type="character" w:styleId="Hypertextovodkaz">
    <w:name w:val="Hyperlink"/>
    <w:basedOn w:val="Standardnpsmoodstavce"/>
    <w:uiPriority w:val="99"/>
    <w:unhideWhenUsed/>
    <w:rsid w:val="003C4256"/>
    <w:rPr>
      <w:rFonts w:ascii="Arial" w:hAnsi="Arial"/>
      <w:caps/>
      <w:smallCaps w:val="0"/>
      <w:color w:val="auto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tomas.urban@abra.e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.urban\Downloads\sablona-obecny%20dokument%20ABR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71FA529E34349CFBF7EAC69CB9C7D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55E8C7-0C87-443C-9C7D-DE60F90382C4}"/>
      </w:docPartPr>
      <w:docPartBody>
        <w:p w:rsidR="00D63E26" w:rsidRDefault="00CF6409">
          <w:pPr>
            <w:pStyle w:val="671FA529E34349CFBF7EAC69CB9C7DA5"/>
          </w:pPr>
          <w:r>
            <w:rPr>
              <w:rStyle w:val="Zstupntext"/>
            </w:rPr>
            <w:t>vložte název dokumentu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09"/>
    <w:rsid w:val="00084E34"/>
    <w:rsid w:val="00726808"/>
    <w:rsid w:val="0093374A"/>
    <w:rsid w:val="00AC5A79"/>
    <w:rsid w:val="00AE15AE"/>
    <w:rsid w:val="00CF6409"/>
    <w:rsid w:val="00D6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</w:style>
  <w:style w:type="paragraph" w:customStyle="1" w:styleId="671FA529E34349CFBF7EAC69CB9C7DA5">
    <w:name w:val="671FA529E34349CFBF7EAC69CB9C7D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8B46-A497-4965-86B9-58CB35030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sablona-obecny dokument ABRA.dotx</Template>
  <TotalTime>3</TotalTime>
  <Pages>1</Pages>
  <Words>826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Urban</dc:creator>
  <cp:lastModifiedBy>Tomáš Urban</cp:lastModifiedBy>
  <cp:revision>4</cp:revision>
  <cp:lastPrinted>2014-02-13T08:45:00Z</cp:lastPrinted>
  <dcterms:created xsi:type="dcterms:W3CDTF">2014-02-15T20:06:00Z</dcterms:created>
  <dcterms:modified xsi:type="dcterms:W3CDTF">2015-03-06T08:01:00Z</dcterms:modified>
</cp:coreProperties>
</file>